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40D63" w14:textId="77777777" w:rsidR="00CE31C4" w:rsidRDefault="000E1E0C" w:rsidP="0008171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ліцензійного реєстру Міністерства екології та природних ресурсів України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м.Вінниці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29E8">
        <w:rPr>
          <w:rFonts w:ascii="Times New Roman" w:hAnsi="Times New Roman" w:cs="Times New Roman"/>
          <w:sz w:val="28"/>
          <w:szCs w:val="28"/>
          <w:lang w:val="uk-UA"/>
        </w:rPr>
        <w:t>ліцензію на право поводження з небезпечними відходами мають такі орган</w:t>
      </w:r>
      <w:r w:rsidR="006C29E8" w:rsidRPr="006C29E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C29E8">
        <w:rPr>
          <w:rFonts w:ascii="Times New Roman" w:hAnsi="Times New Roman" w:cs="Times New Roman"/>
          <w:sz w:val="28"/>
          <w:szCs w:val="28"/>
          <w:lang w:val="uk-UA"/>
        </w:rPr>
        <w:t>зації:</w:t>
      </w:r>
    </w:p>
    <w:p w14:paraId="77740D64" w14:textId="77777777" w:rsidR="006C29E8" w:rsidRPr="00E834AD" w:rsidRDefault="00E834AD" w:rsidP="006C29E8">
      <w:pPr>
        <w:pStyle w:val="a6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Аварійно-рятувальний загін спеціального призначення Головного управління державної служби України з надзвичайних ситуацій у Вінницькій області.</w:t>
      </w:r>
    </w:p>
    <w:p w14:paraId="77740D65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Адреса: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23222, Вінницька обл., Вінницький р-н, с.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Якушинці</w:t>
      </w:r>
      <w:proofErr w:type="spellEnd"/>
    </w:p>
    <w:p w14:paraId="77740D66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Діяльність: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Відходи виробництва, одержання і застосування біоцидів та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фітофармацевтичних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препаратів, включно з відходами пестицидів та гербіцидів, які не відповідають стандартам, мають прострочений термін придатності чи не придатні для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використання за призначенням. 2.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Відходи, що містять як складові або забруднювачі ртуть, сполуки ртуті (у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т.ч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відпрацьовані люмінесцентні лампи та прилади, що містять ртуть).</w:t>
      </w:r>
    </w:p>
    <w:p w14:paraId="77740D67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Дата отримання ліцензії: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2013-03-27.</w:t>
      </w:r>
    </w:p>
    <w:p w14:paraId="77740D68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7740D69" w14:textId="77777777" w:rsidR="00E834AD" w:rsidRPr="00E834AD" w:rsidRDefault="00E834AD" w:rsidP="006C29E8">
      <w:pPr>
        <w:pStyle w:val="a6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ТОВ «Подільська Січ».</w:t>
      </w:r>
    </w:p>
    <w:p w14:paraId="77740D6A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Адреса: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21050, м. Вінниця, вул.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Ватутіна, буд. 19.</w:t>
      </w:r>
    </w:p>
    <w:p w14:paraId="77740D6B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Діяльність: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Відходи, що містять як складові або забруднювачі ртуть, сполуки ртуті (у т. ч. відпрацьовані люмінесцентні лампи т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прилади, що містять ртуть). 2.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Відпрацьовані нафтопродукти, не придатні для використання за призначенням (у т. ч. відпрацьовані моторні, індус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тріальні масла та їх суміші). 3.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Відпрацьовані батареї свинцевих акумуляторів, цілі чи розламані.</w:t>
      </w:r>
    </w:p>
    <w:p w14:paraId="77740D6C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Дата отримання ліцензії: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2013-12-03.</w:t>
      </w:r>
    </w:p>
    <w:p w14:paraId="77740D6D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7740D6E" w14:textId="77777777" w:rsidR="00E834AD" w:rsidRPr="00E834AD" w:rsidRDefault="00E834AD" w:rsidP="006C29E8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ПП «</w:t>
      </w:r>
      <w:proofErr w:type="spellStart"/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Юреко</w:t>
      </w:r>
      <w:proofErr w:type="spellEnd"/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»</w:t>
      </w:r>
    </w:p>
    <w:p w14:paraId="77740D6F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Адреса: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21007, м. Вінниця, вул. Некрасова, буд. 25, оф. 210.</w:t>
      </w:r>
    </w:p>
    <w:p w14:paraId="77740D70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Діяльність: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Гальванічний шлам.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Відходи і брухт електричних та електронних вузлів, що містять компоненти, такі, як акумуляторні батареї або інші батареї.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3.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Відходи, що містять переважно неорганічні компоненти, до складу яких можуть входити метали та органічні матеріали.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Відпрацьовані нафтопродукти, не придатні для використання за призначенням (у тому числі відпрацьовані моторні, індустріальні масла та їх суміші). Відходи забруднені нафтопродуктами.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Відходи розчинів кислот чи основ (у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т.ч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відпрацьований електроліт, осад).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Відходи, які складаються або містять хімічні речовини, що не відповідають специфікації або мають прострочений термін придатності.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6.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Відходи виробництва, одержання і застосування біоцидів та фіто фармацевтичних препаратів, які не 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відповідають стандартам, мають прострочений термін придатності чи не придатні для використання за призначенням.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Відходи виробництва, одержання і застосування фармацевтичних препаратів.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8. 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Відпрацьовані акумуляторні батареї, несортовані, цілі чи розламані (у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т.ч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відпрацьовані батареї свинцевих акумуляторів).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Відходи, що містять як складові або забруднювачі ртуть, сполуки ртуті (у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т.ч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відпрацьовані люмінесцентні лампи та прилади, що містять ртуть).Відходи сумішей масло/вода, вуглеводні/вода, емульсії.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Відходи поверхневої обробки металів і пластмас (у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т.ч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відходи, що містять я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 складові гальванічний шлам).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F30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лінічні та подібні їм відходи 12.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Відходи виробництва, одержання і застосування чорнила, барвників, пігментів, фарб, лаків, оліфи.</w:t>
      </w:r>
    </w:p>
    <w:p w14:paraId="77740D71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Дата отримання ліцензії: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2013-15-04.</w:t>
      </w:r>
    </w:p>
    <w:p w14:paraId="77740D72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7740D73" w14:textId="77777777" w:rsidR="00E834AD" w:rsidRPr="00E834AD" w:rsidRDefault="00E834AD" w:rsidP="006C29E8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ТОВ «</w:t>
      </w:r>
      <w:proofErr w:type="spellStart"/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Вінекоресурс</w:t>
      </w:r>
      <w:proofErr w:type="spellEnd"/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».</w:t>
      </w:r>
    </w:p>
    <w:p w14:paraId="77740D74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Адреса: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21022, м. Вінниця, вул. Айвазовського, буд. 4.</w:t>
      </w:r>
    </w:p>
    <w:p w14:paraId="77740D75" w14:textId="77777777" w:rsidR="00E834AD" w:rsidRPr="00E834AD" w:rsidRDefault="00E834AD" w:rsidP="00E834AD">
      <w:pPr>
        <w:pStyle w:val="a6"/>
        <w:spacing w:after="0"/>
        <w:jc w:val="both"/>
        <w:rPr>
          <w:sz w:val="28"/>
          <w:szCs w:val="28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Діяльність: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1. Відходи виробництва, одержання і застосування фармацевтичних препаратів, за винятком відходів, зазначених у Зеленому переліку відходів (збирання, зберігання); 2. Відходи розчинів кислот чи основ, іншим чином не зазначені у Зеленому переліку відходів (збирання, зберігання); 3.  Відходи, які складаються або містять хімічні речовини, що не відповідають специфікації або мають прострочений термін придатності; 4. Відходи виробництва, одержання і застосування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фотохімікатів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чи матеріалів для обробки фотоматеріалів (збирання, зберігання); 5. Відпрацьоване активоване вугілля, крім включеного до Зеленого переліку відходів (збирання, зберігання); 6. Ртуть; сполуки ртуті (збирання, зберігання); 7. Гальванічний шлам (збирання, зберігання); 8. Відходи азбесту (пил та волокна) (збирання, зберігання); 9. Відпрацьовані нафтопродукти, не придатні для використання за призначенням (у тому числі відпрацьовані моторні, індустріальні масла та їх суміші) (збирання, зберігання, оброблення, утилізація, знешкодження); 10. Відходи сумішей масло/вода, вуглеводні/вода, емульсії (збирання, зберігання, оброблення, утилізація, знешкодження);11. Клінічні та подібні їм відходи, а саме - відходи, що виникають у результаті медичного догляду, ветеринарної чи подібної практики, і відходи, що утворюються у лікарнях або інших закладах під час досліджень, догляду за пацієнтами або при виконанні дослідницьких робіт (збирання, зберігання); 12. Відходи виробництва, виготовлення і застосування смол,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латексів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пластифікаторів, клеїв/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зв'язуючих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матеріалів, за винятком відходів, зазначених у 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Зеленому переліку відходів (збирання, зберігання); 13. Відходи виробництва, одержання і застосування чорнила, барвників, пігментів, фарб, лаків, оліфи, за винятком відходів, зазначених у Зеленому переліку відходів (збирання, зберігання); 14. Відходи упаковок та контейнерів (збирання, зберігання); 15. Відпрацьовані батареї свинцевих акумуляторів, цілі чи розламані (збирання, зберігання); 16.  Відходи виробництва, одержання і застосування хімічних речовин для просочування деревини (у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т.ч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залізничні шпали) (збирання, зберігання); 17. Відходи і брухт електричних та електронних вузлів, що містять компоненти, такі, як акумуляторні батареї, скло від електронно-променевих трубок або інше активоване скло (збирання, зберігання); 18. Відходи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негалогенованих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органічних розчинників, за винятком відходів, зазначених у Зеленому переліку відходів (збирання, зберігання); 19. Відходи хімічних речовин, отримані під час проведення науково- дослідних робіт чи навчального процесу, які ще  не ідентифіковані, та/або які є новими, а їх вплив на людину та/або довкілля невідомий (збирання, зберігання); 20. Відходи, речовини або вироби, які містять, складаються або забруднені ПХБ,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поліхлорованими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фенілами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(ПХТ), полі хлорованими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нафталінами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(ПХН) або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полібромованими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біфенілами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(ПББ), або будь-якими іншими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полібромованими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аналогами цих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сполук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на рівні концентрацій 50 мг/кг або більше(6) (збирання, зберігання); 21. Розчини після травлення металів (збирання, зберігання); 22. Відпрацьовані каталізатори (збирання, зберігання); 23. Відходи фенолів, фенольних </w:t>
      </w:r>
      <w:proofErr w:type="spellStart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сполук</w:t>
      </w:r>
      <w:proofErr w:type="spellEnd"/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включаючи хлорфенол, у вигляді рідин або шламів (збирання, зберігання).</w:t>
      </w:r>
    </w:p>
    <w:p w14:paraId="77740D76" w14:textId="77777777" w:rsidR="00E834AD" w:rsidRPr="00E834AD" w:rsidRDefault="00E834AD" w:rsidP="00E834AD">
      <w:pPr>
        <w:pStyle w:val="a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Дата отримання ліцензії:</w:t>
      </w:r>
      <w:r w:rsidRPr="00E834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2017-02-10.</w:t>
      </w:r>
    </w:p>
    <w:p w14:paraId="77740D77" w14:textId="77777777" w:rsidR="000E1E0C" w:rsidRPr="00E834AD" w:rsidRDefault="000E1E0C" w:rsidP="006C29E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E1E0C" w:rsidRPr="00E834AD" w:rsidSect="003572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54BD2"/>
    <w:multiLevelType w:val="hybridMultilevel"/>
    <w:tmpl w:val="0A969F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660F5D"/>
    <w:multiLevelType w:val="hybridMultilevel"/>
    <w:tmpl w:val="37368326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E0C5E"/>
    <w:multiLevelType w:val="hybridMultilevel"/>
    <w:tmpl w:val="11D2F1BA"/>
    <w:lvl w:ilvl="0" w:tplc="7ED8AD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0423"/>
    <w:rsid w:val="00081719"/>
    <w:rsid w:val="000B6EBA"/>
    <w:rsid w:val="000E1E0C"/>
    <w:rsid w:val="000F488E"/>
    <w:rsid w:val="00137DE8"/>
    <w:rsid w:val="001C0423"/>
    <w:rsid w:val="0020022E"/>
    <w:rsid w:val="00295DCF"/>
    <w:rsid w:val="002B1499"/>
    <w:rsid w:val="003019A1"/>
    <w:rsid w:val="003572FF"/>
    <w:rsid w:val="003730FF"/>
    <w:rsid w:val="003823F6"/>
    <w:rsid w:val="003B280D"/>
    <w:rsid w:val="003D41D4"/>
    <w:rsid w:val="003F330E"/>
    <w:rsid w:val="004218E1"/>
    <w:rsid w:val="00427CDF"/>
    <w:rsid w:val="005074EF"/>
    <w:rsid w:val="005E413F"/>
    <w:rsid w:val="006C29E8"/>
    <w:rsid w:val="0074015B"/>
    <w:rsid w:val="008448AC"/>
    <w:rsid w:val="008638D7"/>
    <w:rsid w:val="008F52D9"/>
    <w:rsid w:val="00963BF3"/>
    <w:rsid w:val="00967DB1"/>
    <w:rsid w:val="0099378D"/>
    <w:rsid w:val="009C58BF"/>
    <w:rsid w:val="00A10848"/>
    <w:rsid w:val="00A73C2A"/>
    <w:rsid w:val="00AA70C7"/>
    <w:rsid w:val="00B516B9"/>
    <w:rsid w:val="00B65F44"/>
    <w:rsid w:val="00BE2238"/>
    <w:rsid w:val="00CA16B1"/>
    <w:rsid w:val="00CA4B05"/>
    <w:rsid w:val="00CE31C4"/>
    <w:rsid w:val="00CE4C3B"/>
    <w:rsid w:val="00D477DB"/>
    <w:rsid w:val="00D52FD5"/>
    <w:rsid w:val="00D63D75"/>
    <w:rsid w:val="00D751ED"/>
    <w:rsid w:val="00D855D6"/>
    <w:rsid w:val="00DE1DB4"/>
    <w:rsid w:val="00DF0906"/>
    <w:rsid w:val="00E834AD"/>
    <w:rsid w:val="00F30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0D52"/>
  <w15:docId w15:val="{F6EB669C-2690-442B-9CC9-B5344EFB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6B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9"/>
    <w:qFormat/>
    <w:rsid w:val="00295DC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95DC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5DCF"/>
    <w:rPr>
      <w:rFonts w:eastAsia="Times New Roman" w:cs="Times New Roman"/>
      <w:b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95DCF"/>
    <w:rPr>
      <w:rFonts w:ascii="Cambria" w:eastAsia="Times New Roman" w:hAnsi="Cambria" w:cs="Times New Roman"/>
      <w:b/>
      <w:i/>
      <w:szCs w:val="20"/>
      <w:lang w:val="uk-UA" w:eastAsia="ru-RU"/>
    </w:rPr>
  </w:style>
  <w:style w:type="paragraph" w:styleId="a3">
    <w:name w:val="No Spacing"/>
    <w:uiPriority w:val="1"/>
    <w:qFormat/>
    <w:rsid w:val="00295DCF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0FF"/>
    <w:rPr>
      <w:rFonts w:ascii="Tahoma" w:hAnsi="Tahoma" w:cs="Tahoma"/>
      <w:sz w:val="16"/>
      <w:szCs w:val="16"/>
    </w:rPr>
  </w:style>
  <w:style w:type="character" w:customStyle="1" w:styleId="5">
    <w:name w:val="Основний текст (5)_"/>
    <w:basedOn w:val="a0"/>
    <w:link w:val="50"/>
    <w:rsid w:val="003730FF"/>
    <w:rPr>
      <w:rFonts w:eastAsia="Times New Roman" w:cs="Times New Roman"/>
      <w:b/>
      <w:bCs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3730FF"/>
    <w:rPr>
      <w:rFonts w:eastAsia="Times New Roman" w:cs="Times New Roman"/>
      <w:b/>
      <w:bCs/>
      <w:szCs w:val="28"/>
      <w:shd w:val="clear" w:color="auto" w:fill="FFFFFF"/>
    </w:rPr>
  </w:style>
  <w:style w:type="character" w:customStyle="1" w:styleId="23">
    <w:name w:val="Основний текст (2)_"/>
    <w:basedOn w:val="a0"/>
    <w:link w:val="24"/>
    <w:rsid w:val="003730FF"/>
    <w:rPr>
      <w:rFonts w:eastAsia="Times New Roman" w:cs="Times New Roman"/>
      <w:szCs w:val="28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3730FF"/>
    <w:rPr>
      <w:rFonts w:eastAsia="Times New Roman" w:cs="Times New Roman"/>
      <w:sz w:val="8"/>
      <w:szCs w:val="8"/>
      <w:shd w:val="clear" w:color="auto" w:fill="FFFFFF"/>
    </w:rPr>
  </w:style>
  <w:style w:type="character" w:customStyle="1" w:styleId="68pt">
    <w:name w:val="Основний текст (6) + 8 pt;Курсив"/>
    <w:basedOn w:val="6"/>
    <w:rsid w:val="003730FF"/>
    <w:rPr>
      <w:rFonts w:eastAsia="Times New Roman" w:cs="Times New Roman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character" w:customStyle="1" w:styleId="25">
    <w:name w:val="Основний текст (2) + Напівжирний"/>
    <w:basedOn w:val="23"/>
    <w:rsid w:val="003730FF"/>
    <w:rPr>
      <w:rFonts w:eastAsia="Times New Roman" w:cs="Times New Roman"/>
      <w:b/>
      <w:bCs/>
      <w:color w:val="000000"/>
      <w:spacing w:val="0"/>
      <w:w w:val="100"/>
      <w:position w:val="0"/>
      <w:szCs w:val="28"/>
      <w:shd w:val="clear" w:color="auto" w:fill="FFFFFF"/>
      <w:lang w:val="uk-UA" w:eastAsia="uk-UA" w:bidi="uk-UA"/>
    </w:rPr>
  </w:style>
  <w:style w:type="paragraph" w:customStyle="1" w:styleId="50">
    <w:name w:val="Основний текст (5)"/>
    <w:basedOn w:val="a"/>
    <w:link w:val="5"/>
    <w:rsid w:val="003730FF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3730FF"/>
    <w:pPr>
      <w:widowControl w:val="0"/>
      <w:shd w:val="clear" w:color="auto" w:fill="FFFFFF"/>
      <w:spacing w:before="540" w:after="36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ий текст (2)"/>
    <w:basedOn w:val="a"/>
    <w:link w:val="23"/>
    <w:rsid w:val="003730FF"/>
    <w:pPr>
      <w:widowControl w:val="0"/>
      <w:shd w:val="clear" w:color="auto" w:fill="FFFFFF"/>
      <w:spacing w:before="360" w:after="0" w:line="480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ий текст (6)"/>
    <w:basedOn w:val="a"/>
    <w:link w:val="6"/>
    <w:rsid w:val="003730F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styleId="a6">
    <w:name w:val="List Paragraph"/>
    <w:basedOn w:val="a"/>
    <w:uiPriority w:val="34"/>
    <w:qFormat/>
    <w:rsid w:val="00967DB1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7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68F305-46D2-426B-AD14-6E4C2E827315}"/>
</file>

<file path=customXml/itemProps2.xml><?xml version="1.0" encoding="utf-8"?>
<ds:datastoreItem xmlns:ds="http://schemas.openxmlformats.org/officeDocument/2006/customXml" ds:itemID="{8EDC52F2-6B54-41F6-938C-88C357124220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B950B2E-E5A9-4A69-92C8-5BA70F9A79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4008</Words>
  <Characters>2286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Саржевская</dc:creator>
  <cp:lastModifiedBy>Серветник Наталія Олександрівна</cp:lastModifiedBy>
  <cp:revision>33</cp:revision>
  <cp:lastPrinted>2018-04-02T07:51:00Z</cp:lastPrinted>
  <dcterms:created xsi:type="dcterms:W3CDTF">2017-10-09T08:45:00Z</dcterms:created>
  <dcterms:modified xsi:type="dcterms:W3CDTF">2018-12-03T11:20:00Z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